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5C" w:rsidRPr="00B625EF" w:rsidRDefault="0080795C" w:rsidP="00B625EF">
      <w:pPr>
        <w:spacing w:line="320" w:lineRule="exact"/>
        <w:ind w:firstLine="708"/>
        <w:rPr>
          <w:rFonts w:ascii="Times New Roman" w:hAnsi="Times New Roman"/>
          <w:sz w:val="24"/>
          <w:szCs w:val="24"/>
        </w:rPr>
      </w:pPr>
    </w:p>
    <w:p w:rsidR="00A12D90" w:rsidRDefault="00A12D90" w:rsidP="00B625EF">
      <w:pPr>
        <w:spacing w:line="320" w:lineRule="exact"/>
        <w:ind w:left="7788"/>
        <w:rPr>
          <w:rFonts w:ascii="Times New Roman" w:hAnsi="Times New Roman"/>
          <w:sz w:val="24"/>
          <w:szCs w:val="24"/>
        </w:rPr>
      </w:pPr>
      <w:r w:rsidRPr="00B625EF">
        <w:rPr>
          <w:rFonts w:ascii="Times New Roman" w:hAnsi="Times New Roman"/>
          <w:sz w:val="24"/>
          <w:szCs w:val="24"/>
        </w:rPr>
        <w:t>Приложение №</w:t>
      </w:r>
      <w:r w:rsidR="00E55AEE" w:rsidRPr="00B625EF">
        <w:rPr>
          <w:rFonts w:ascii="Times New Roman" w:hAnsi="Times New Roman"/>
          <w:sz w:val="24"/>
          <w:szCs w:val="24"/>
        </w:rPr>
        <w:t xml:space="preserve"> </w:t>
      </w:r>
      <w:r w:rsidRPr="00B625EF">
        <w:rPr>
          <w:rFonts w:ascii="Times New Roman" w:hAnsi="Times New Roman"/>
          <w:sz w:val="24"/>
          <w:szCs w:val="24"/>
        </w:rPr>
        <w:t>1</w:t>
      </w:r>
      <w:r w:rsidR="00E55AEE" w:rsidRPr="00B625EF">
        <w:rPr>
          <w:rFonts w:ascii="Times New Roman" w:hAnsi="Times New Roman"/>
          <w:sz w:val="24"/>
          <w:szCs w:val="24"/>
        </w:rPr>
        <w:t>2</w:t>
      </w:r>
    </w:p>
    <w:p w:rsidR="00793095" w:rsidRPr="00075026" w:rsidRDefault="00793095" w:rsidP="00793095">
      <w:pPr>
        <w:spacing w:line="320" w:lineRule="exact"/>
        <w:ind w:left="2977"/>
        <w:rPr>
          <w:rFonts w:ascii="Times New Roman" w:hAnsi="Times New Roman"/>
          <w:i/>
          <w:sz w:val="24"/>
          <w:szCs w:val="24"/>
        </w:rPr>
      </w:pPr>
      <w:bookmarkStart w:id="0" w:name="_GoBack"/>
      <w:r w:rsidRPr="00075026">
        <w:rPr>
          <w:rFonts w:ascii="Times New Roman" w:hAnsi="Times New Roman"/>
          <w:i/>
          <w:sz w:val="24"/>
          <w:szCs w:val="24"/>
        </w:rPr>
        <w:t>Форма приглашения к участию в очной процедуре переторжки</w:t>
      </w:r>
    </w:p>
    <w:bookmarkEnd w:id="0"/>
    <w:p w:rsidR="00793095" w:rsidRPr="00B625EF" w:rsidRDefault="00793095" w:rsidP="00B625EF">
      <w:pPr>
        <w:spacing w:line="320" w:lineRule="exact"/>
        <w:ind w:left="7788"/>
        <w:rPr>
          <w:rFonts w:ascii="Times New Roman" w:hAnsi="Times New Roman"/>
          <w:sz w:val="24"/>
          <w:szCs w:val="24"/>
        </w:rPr>
      </w:pPr>
    </w:p>
    <w:p w:rsidR="008529F4" w:rsidRPr="00B625EF" w:rsidRDefault="00DC67B1" w:rsidP="00B625EF">
      <w:pPr>
        <w:spacing w:line="320" w:lineRule="exact"/>
        <w:ind w:firstLine="708"/>
        <w:rPr>
          <w:rFonts w:ascii="Times New Roman" w:eastAsia="Calibri" w:hAnsi="Times New Roman"/>
          <w:bCs/>
          <w:sz w:val="24"/>
          <w:szCs w:val="24"/>
        </w:rPr>
      </w:pPr>
      <w:r w:rsidRPr="00B625EF">
        <w:rPr>
          <w:rFonts w:ascii="Times New Roman" w:hAnsi="Times New Roman"/>
          <w:sz w:val="24"/>
          <w:szCs w:val="24"/>
        </w:rPr>
        <w:t xml:space="preserve">Утверждено решением </w:t>
      </w:r>
      <w:r w:rsidR="00CF6DF9" w:rsidRPr="00B625EF">
        <w:rPr>
          <w:rFonts w:ascii="Times New Roman" w:hAnsi="Times New Roman"/>
          <w:sz w:val="24"/>
          <w:szCs w:val="24"/>
        </w:rPr>
        <w:t>Закупочной комиссии АО «МАСКО»</w:t>
      </w:r>
    </w:p>
    <w:p w:rsidR="008F79C6" w:rsidRPr="00B625EF" w:rsidRDefault="00DC67B1" w:rsidP="00B625EF">
      <w:pPr>
        <w:spacing w:line="320" w:lineRule="exact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B625EF">
        <w:rPr>
          <w:rFonts w:ascii="Times New Roman" w:hAnsi="Times New Roman"/>
          <w:bCs/>
          <w:color w:val="000000"/>
          <w:sz w:val="24"/>
          <w:szCs w:val="24"/>
        </w:rPr>
        <w:t>(протокол от ______ №_</w:t>
      </w:r>
      <w:r w:rsidR="008529F4" w:rsidRPr="00B625EF"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Pr="00B625EF">
        <w:rPr>
          <w:rFonts w:ascii="Times New Roman" w:hAnsi="Times New Roman"/>
          <w:bCs/>
          <w:color w:val="000000"/>
          <w:sz w:val="24"/>
          <w:szCs w:val="24"/>
        </w:rPr>
        <w:t>________)</w:t>
      </w:r>
      <w:r w:rsidR="008529F4" w:rsidRPr="00B625E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8F79C6" w:rsidRPr="00B625EF" w:rsidRDefault="008F79C6" w:rsidP="00B625EF">
      <w:pPr>
        <w:spacing w:line="320" w:lineRule="exact"/>
        <w:ind w:firstLine="708"/>
        <w:rPr>
          <w:rFonts w:ascii="Times New Roman" w:eastAsia="Calibri" w:hAnsi="Times New Roman"/>
          <w:bCs/>
          <w:sz w:val="24"/>
          <w:szCs w:val="24"/>
        </w:rPr>
      </w:pPr>
    </w:p>
    <w:p w:rsidR="00A12D90" w:rsidRPr="00B625EF" w:rsidRDefault="007A2ACD" w:rsidP="00B625EF">
      <w:pPr>
        <w:spacing w:line="320" w:lineRule="exact"/>
        <w:ind w:firstLine="708"/>
        <w:jc w:val="center"/>
        <w:rPr>
          <w:rFonts w:ascii="Times New Roman" w:eastAsia="Calibri" w:hAnsi="Times New Roman"/>
          <w:b/>
          <w:bCs/>
          <w:szCs w:val="28"/>
        </w:rPr>
      </w:pPr>
      <w:r w:rsidRPr="00B625EF">
        <w:rPr>
          <w:rFonts w:ascii="Times New Roman" w:eastAsia="Calibri" w:hAnsi="Times New Roman"/>
          <w:b/>
          <w:bCs/>
          <w:szCs w:val="28"/>
        </w:rPr>
        <w:t>Приглашение к</w:t>
      </w:r>
      <w:r w:rsidR="008529F4" w:rsidRPr="00B625EF">
        <w:rPr>
          <w:rFonts w:ascii="Times New Roman" w:eastAsia="Calibri" w:hAnsi="Times New Roman"/>
          <w:b/>
          <w:bCs/>
          <w:szCs w:val="28"/>
        </w:rPr>
        <w:t xml:space="preserve"> </w:t>
      </w:r>
      <w:r w:rsidR="00354CFB" w:rsidRPr="00B625EF">
        <w:rPr>
          <w:rFonts w:ascii="Times New Roman" w:eastAsia="Calibri" w:hAnsi="Times New Roman"/>
          <w:b/>
          <w:bCs/>
          <w:szCs w:val="28"/>
        </w:rPr>
        <w:t>участию в</w:t>
      </w:r>
      <w:r w:rsidR="008529F4" w:rsidRPr="00B625EF">
        <w:rPr>
          <w:rFonts w:ascii="Times New Roman" w:eastAsia="Calibri" w:hAnsi="Times New Roman"/>
          <w:b/>
          <w:bCs/>
          <w:szCs w:val="28"/>
        </w:rPr>
        <w:t xml:space="preserve"> </w:t>
      </w:r>
      <w:r w:rsidR="00244D93" w:rsidRPr="00B625EF">
        <w:rPr>
          <w:rFonts w:ascii="Times New Roman" w:eastAsia="Calibri" w:hAnsi="Times New Roman"/>
          <w:b/>
          <w:bCs/>
          <w:szCs w:val="28"/>
          <w:u w:val="single"/>
        </w:rPr>
        <w:t>очной</w:t>
      </w:r>
      <w:r w:rsidR="00244D93" w:rsidRPr="00B625EF">
        <w:rPr>
          <w:rFonts w:ascii="Times New Roman" w:eastAsia="Calibri" w:hAnsi="Times New Roman"/>
          <w:b/>
          <w:bCs/>
          <w:szCs w:val="28"/>
        </w:rPr>
        <w:t xml:space="preserve"> </w:t>
      </w:r>
      <w:r w:rsidR="008529F4" w:rsidRPr="00B625EF">
        <w:rPr>
          <w:rFonts w:ascii="Times New Roman" w:eastAsia="Calibri" w:hAnsi="Times New Roman"/>
          <w:b/>
          <w:bCs/>
          <w:szCs w:val="28"/>
        </w:rPr>
        <w:t>процедур</w:t>
      </w:r>
      <w:r w:rsidR="00354CFB" w:rsidRPr="00B625EF">
        <w:rPr>
          <w:rFonts w:ascii="Times New Roman" w:eastAsia="Calibri" w:hAnsi="Times New Roman"/>
          <w:b/>
          <w:bCs/>
          <w:szCs w:val="28"/>
        </w:rPr>
        <w:t>е</w:t>
      </w:r>
      <w:r w:rsidR="008529F4" w:rsidRPr="00B625EF">
        <w:rPr>
          <w:rFonts w:ascii="Times New Roman" w:eastAsia="Calibri" w:hAnsi="Times New Roman"/>
          <w:b/>
          <w:bCs/>
          <w:szCs w:val="28"/>
        </w:rPr>
        <w:t xml:space="preserve"> переторжки</w:t>
      </w:r>
      <w:r w:rsidR="00D61661" w:rsidRPr="00B625EF">
        <w:rPr>
          <w:rFonts w:ascii="Times New Roman" w:eastAsia="Calibri" w:hAnsi="Times New Roman"/>
          <w:b/>
          <w:bCs/>
          <w:szCs w:val="28"/>
        </w:rPr>
        <w:t xml:space="preserve"> </w:t>
      </w:r>
    </w:p>
    <w:p w:rsidR="008F79C6" w:rsidRPr="00B625EF" w:rsidRDefault="008F79C6" w:rsidP="00B625EF">
      <w:pPr>
        <w:spacing w:line="320" w:lineRule="exact"/>
        <w:ind w:firstLine="708"/>
        <w:rPr>
          <w:rFonts w:ascii="Times New Roman" w:eastAsia="Calibri" w:hAnsi="Times New Roman"/>
          <w:bCs/>
          <w:sz w:val="24"/>
          <w:szCs w:val="24"/>
        </w:rPr>
      </w:pPr>
    </w:p>
    <w:tbl>
      <w:tblPr>
        <w:tblStyle w:val="a6"/>
        <w:tblW w:w="10490" w:type="dxa"/>
        <w:tblInd w:w="-176" w:type="dxa"/>
        <w:tblLook w:val="04A0" w:firstRow="1" w:lastRow="0" w:firstColumn="1" w:lastColumn="0" w:noHBand="0" w:noVBand="1"/>
      </w:tblPr>
      <w:tblGrid>
        <w:gridCol w:w="534"/>
        <w:gridCol w:w="2160"/>
        <w:gridCol w:w="7796"/>
      </w:tblGrid>
      <w:tr w:rsidR="00D42762" w:rsidRPr="00B625EF" w:rsidTr="00A2770A">
        <w:tc>
          <w:tcPr>
            <w:tcW w:w="534" w:type="dxa"/>
          </w:tcPr>
          <w:p w:rsidR="00D42762" w:rsidRPr="00B625EF" w:rsidRDefault="00D42762" w:rsidP="00B625EF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42762" w:rsidRPr="00B625EF" w:rsidRDefault="00D42762" w:rsidP="00B625EF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Форма проведения </w:t>
            </w:r>
            <w:r w:rsidR="00457E97"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переторжки</w:t>
            </w:r>
          </w:p>
        </w:tc>
        <w:tc>
          <w:tcPr>
            <w:tcW w:w="7796" w:type="dxa"/>
          </w:tcPr>
          <w:p w:rsidR="00457E97" w:rsidRPr="00B625EF" w:rsidRDefault="00457E97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Например, </w:t>
            </w:r>
          </w:p>
          <w:p w:rsidR="00D42762" w:rsidRPr="00B625EF" w:rsidRDefault="00457E97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i/>
                <w:sz w:val="24"/>
                <w:szCs w:val="24"/>
                <w:highlight w:val="yellow"/>
                <w:u w:val="single"/>
              </w:rPr>
              <w:t>Вариант 1:</w:t>
            </w:r>
            <w:r w:rsidRPr="00B625EF">
              <w:rPr>
                <w:rFonts w:ascii="Times New Roman" w:eastAsia="Calibri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="00EF50B4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Очная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457E97" w:rsidRPr="00B625EF" w:rsidRDefault="00457E97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i/>
                <w:sz w:val="24"/>
                <w:szCs w:val="24"/>
                <w:highlight w:val="yellow"/>
                <w:u w:val="single"/>
              </w:rPr>
              <w:t>Вариант 2:</w:t>
            </w:r>
            <w:r w:rsidRPr="00B625E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Очная в р</w:t>
            </w:r>
            <w:r w:rsidR="00CF6DF9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ежиме телефонной конференцсвязи или </w:t>
            </w:r>
            <w:r w:rsidR="00AE4C92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видеоконференцсвязи. 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42762" w:rsidRPr="00B625EF" w:rsidTr="00A2770A">
        <w:tc>
          <w:tcPr>
            <w:tcW w:w="534" w:type="dxa"/>
          </w:tcPr>
          <w:p w:rsidR="00D42762" w:rsidRPr="00B625EF" w:rsidRDefault="00D42762" w:rsidP="00B625EF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42762" w:rsidRPr="00B625EF" w:rsidRDefault="00D42762" w:rsidP="00B625EF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Адрес проведения </w:t>
            </w:r>
            <w:r w:rsidR="00DF38F6"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переторжки</w:t>
            </w:r>
          </w:p>
        </w:tc>
        <w:tc>
          <w:tcPr>
            <w:tcW w:w="7796" w:type="dxa"/>
          </w:tcPr>
          <w:p w:rsidR="00D42762" w:rsidRPr="00B625EF" w:rsidRDefault="00D42762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D42762" w:rsidRPr="00B625EF" w:rsidTr="00A2770A">
        <w:tc>
          <w:tcPr>
            <w:tcW w:w="534" w:type="dxa"/>
          </w:tcPr>
          <w:p w:rsidR="00D42762" w:rsidRPr="00B625EF" w:rsidRDefault="00D42762" w:rsidP="00B625EF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D42762" w:rsidRPr="00B625EF" w:rsidRDefault="00DF38F6" w:rsidP="00B625EF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Дата проведения переторжки</w:t>
            </w:r>
          </w:p>
        </w:tc>
        <w:tc>
          <w:tcPr>
            <w:tcW w:w="7796" w:type="dxa"/>
          </w:tcPr>
          <w:p w:rsidR="00D42762" w:rsidRPr="00B625EF" w:rsidRDefault="00D42762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D42762" w:rsidRPr="00B625EF" w:rsidTr="00A2770A">
        <w:tc>
          <w:tcPr>
            <w:tcW w:w="534" w:type="dxa"/>
          </w:tcPr>
          <w:p w:rsidR="00D42762" w:rsidRPr="00B625EF" w:rsidRDefault="00D42762" w:rsidP="00B625EF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D42762" w:rsidRPr="00B625EF" w:rsidRDefault="00D42762" w:rsidP="00B625EF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Время проведения </w:t>
            </w:r>
            <w:r w:rsidR="00DF38F6"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переторжки</w:t>
            </w:r>
          </w:p>
        </w:tc>
        <w:tc>
          <w:tcPr>
            <w:tcW w:w="7796" w:type="dxa"/>
          </w:tcPr>
          <w:p w:rsidR="00D42762" w:rsidRPr="00B625EF" w:rsidRDefault="00D42762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D42762" w:rsidRPr="00B625EF" w:rsidTr="00A2770A">
        <w:tc>
          <w:tcPr>
            <w:tcW w:w="534" w:type="dxa"/>
          </w:tcPr>
          <w:p w:rsidR="00D42762" w:rsidRPr="00B625EF" w:rsidRDefault="00D42762" w:rsidP="00B625EF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D42762" w:rsidRPr="00B625EF" w:rsidRDefault="00A15909" w:rsidP="00B625EF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Начальная  цена</w:t>
            </w:r>
            <w:r w:rsidR="00DC67B1"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переторжки</w:t>
            </w:r>
            <w:r w:rsidR="0070794A" w:rsidRPr="00B625EF">
              <w:rPr>
                <w:rStyle w:val="af2"/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  <w:footnoteReference w:id="1"/>
            </w:r>
          </w:p>
        </w:tc>
        <w:tc>
          <w:tcPr>
            <w:tcW w:w="7796" w:type="dxa"/>
          </w:tcPr>
          <w:p w:rsidR="00D42762" w:rsidRPr="00B625EF" w:rsidRDefault="003050D7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42762" w:rsidRPr="00B625EF" w:rsidTr="00A2770A">
        <w:tc>
          <w:tcPr>
            <w:tcW w:w="534" w:type="dxa"/>
          </w:tcPr>
          <w:p w:rsidR="00D42762" w:rsidRPr="00B625EF" w:rsidRDefault="00A15909" w:rsidP="00B625EF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D42762" w:rsidRPr="00B625EF" w:rsidRDefault="0070794A" w:rsidP="00B625EF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Ш</w:t>
            </w:r>
            <w:r w:rsidR="00A15909"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аг понижения цены</w:t>
            </w:r>
          </w:p>
        </w:tc>
        <w:tc>
          <w:tcPr>
            <w:tcW w:w="7796" w:type="dxa"/>
          </w:tcPr>
          <w:p w:rsidR="00AE2591" w:rsidRPr="00B625EF" w:rsidRDefault="00AE2591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Например, </w:t>
            </w:r>
          </w:p>
          <w:p w:rsidR="00AE2591" w:rsidRPr="00B625EF" w:rsidRDefault="00AE2591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i/>
                <w:sz w:val="24"/>
                <w:szCs w:val="24"/>
                <w:highlight w:val="yellow"/>
                <w:u w:val="single"/>
              </w:rPr>
              <w:t xml:space="preserve">Вариант 1: 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Не установлен. </w:t>
            </w:r>
          </w:p>
          <w:p w:rsidR="00D42762" w:rsidRPr="00B625EF" w:rsidRDefault="00AE2591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i/>
                <w:sz w:val="24"/>
                <w:szCs w:val="24"/>
                <w:highlight w:val="yellow"/>
                <w:u w:val="single"/>
              </w:rPr>
              <w:t xml:space="preserve">Вариант 2: </w:t>
            </w:r>
            <w:r w:rsidR="00F10479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 </w:t>
            </w:r>
            <w:r w:rsidR="00F10479" w:rsidRPr="00B625E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</w:t>
            </w:r>
            <w:r w:rsidR="000666FF" w:rsidRPr="00B625E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указывается в процентном или денежном выражении</w:t>
            </w:r>
            <w:r w:rsidR="00F10479" w:rsidRPr="00B625E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от начальной цены пер</w:t>
            </w:r>
            <w:r w:rsidRPr="00B625E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еторжки). </w:t>
            </w:r>
          </w:p>
        </w:tc>
      </w:tr>
      <w:tr w:rsidR="000D68F0" w:rsidRPr="00B625EF" w:rsidTr="00A2770A">
        <w:tc>
          <w:tcPr>
            <w:tcW w:w="534" w:type="dxa"/>
          </w:tcPr>
          <w:p w:rsidR="000D68F0" w:rsidRPr="00B625EF" w:rsidRDefault="0034436D" w:rsidP="00B625EF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0D68F0" w:rsidRPr="00B625EF" w:rsidRDefault="000D68F0" w:rsidP="00B625EF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Установление ограничения по снижению цены </w:t>
            </w:r>
            <w:r w:rsidRPr="00B625EF">
              <w:rPr>
                <w:rStyle w:val="af2"/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  <w:footnoteReference w:id="2"/>
            </w:r>
          </w:p>
        </w:tc>
        <w:tc>
          <w:tcPr>
            <w:tcW w:w="7796" w:type="dxa"/>
          </w:tcPr>
          <w:p w:rsidR="008E3620" w:rsidRPr="00B625EF" w:rsidRDefault="008E3620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Например, </w:t>
            </w:r>
          </w:p>
          <w:p w:rsidR="008E3620" w:rsidRPr="00B625EF" w:rsidRDefault="008E3620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i/>
                <w:sz w:val="24"/>
                <w:szCs w:val="24"/>
                <w:highlight w:val="yellow"/>
                <w:u w:val="single"/>
              </w:rPr>
              <w:t>Вариант 1: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036A9E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Не установлено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</w:p>
          <w:p w:rsidR="000D68F0" w:rsidRPr="00B625EF" w:rsidRDefault="008E3620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i/>
                <w:sz w:val="24"/>
                <w:szCs w:val="24"/>
                <w:highlight w:val="yellow"/>
                <w:u w:val="single"/>
              </w:rPr>
              <w:t>Вариант 2: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036A9E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редусмотрено ограничение по снижению цен в </w:t>
            </w:r>
            <w:proofErr w:type="gramStart"/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размере </w:t>
            </w:r>
            <w:r w:rsidR="00036A9E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proofErr w:type="gramEnd"/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% от начальной цены переторжки, предусмотренной пунктом 5 настояще</w:t>
            </w:r>
            <w:r w:rsidR="00E55AEE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го Приглашения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   </w:t>
            </w:r>
          </w:p>
          <w:p w:rsidR="00036A9E" w:rsidRPr="00B625EF" w:rsidRDefault="00036A9E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hAnsi="Times New Roman"/>
                <w:sz w:val="24"/>
                <w:szCs w:val="24"/>
              </w:rPr>
              <w:t xml:space="preserve">Если окончательная цена, заявленная участником по результатам тура (этапа) переторжки окажется ниже, чем на 20% от минимальной цены переторжки </w:t>
            </w:r>
            <w:r w:rsidR="00644670" w:rsidRPr="00B625EF">
              <w:rPr>
                <w:rFonts w:ascii="Times New Roman" w:hAnsi="Times New Roman"/>
                <w:sz w:val="24"/>
                <w:szCs w:val="24"/>
              </w:rPr>
              <w:t>Закупочная комиссия</w:t>
            </w:r>
            <w:r w:rsidRPr="00B625EF">
              <w:rPr>
                <w:rFonts w:ascii="Times New Roman" w:hAnsi="Times New Roman"/>
                <w:sz w:val="24"/>
                <w:szCs w:val="24"/>
              </w:rPr>
              <w:t xml:space="preserve"> вправе отклонить такую заявку. В этом случае, окончательной ценой заявки будет считаться цена заявки, полученная в ходе предыдущего тура (этапа) переторжки и соответственно, которая </w:t>
            </w:r>
            <w:r w:rsidR="00D8185B" w:rsidRPr="00B625EF">
              <w:rPr>
                <w:rFonts w:ascii="Times New Roman" w:hAnsi="Times New Roman"/>
                <w:sz w:val="24"/>
                <w:szCs w:val="24"/>
              </w:rPr>
              <w:t>будет</w:t>
            </w:r>
            <w:r w:rsidRPr="00B625EF">
              <w:rPr>
                <w:rFonts w:ascii="Times New Roman" w:hAnsi="Times New Roman"/>
                <w:sz w:val="24"/>
                <w:szCs w:val="24"/>
              </w:rPr>
              <w:t xml:space="preserve"> учтена при построении итоговой ранжировки предложений.   </w:t>
            </w:r>
          </w:p>
        </w:tc>
      </w:tr>
      <w:tr w:rsidR="000D68F0" w:rsidRPr="00B625EF" w:rsidTr="00A2770A">
        <w:tc>
          <w:tcPr>
            <w:tcW w:w="534" w:type="dxa"/>
          </w:tcPr>
          <w:p w:rsidR="000D68F0" w:rsidRPr="00B625EF" w:rsidRDefault="0034436D" w:rsidP="00B625EF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0D68F0" w:rsidRPr="00B625EF" w:rsidRDefault="000D68F0" w:rsidP="00B625EF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Условия договора, по которым проводится </w:t>
            </w: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переторжка</w:t>
            </w:r>
          </w:p>
        </w:tc>
        <w:tc>
          <w:tcPr>
            <w:tcW w:w="7796" w:type="dxa"/>
          </w:tcPr>
          <w:p w:rsidR="005B4105" w:rsidRPr="00B625EF" w:rsidRDefault="005B4105" w:rsidP="00B625EF">
            <w:pPr>
              <w:spacing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25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Например,</w:t>
            </w:r>
          </w:p>
          <w:p w:rsidR="005B4105" w:rsidRPr="00B625EF" w:rsidRDefault="005B4105" w:rsidP="00B625EF">
            <w:pPr>
              <w:pStyle w:val="a1"/>
              <w:tabs>
                <w:tab w:val="clear" w:pos="5104"/>
              </w:tabs>
              <w:spacing w:line="320" w:lineRule="exact"/>
              <w:ind w:left="600"/>
              <w:rPr>
                <w:snapToGrid/>
                <w:sz w:val="24"/>
                <w:szCs w:val="24"/>
              </w:rPr>
            </w:pPr>
            <w:r w:rsidRPr="00B625EF">
              <w:rPr>
                <w:snapToGrid/>
                <w:sz w:val="24"/>
                <w:szCs w:val="24"/>
              </w:rPr>
              <w:t>цена заявки (цена за единицу продукции);</w:t>
            </w:r>
          </w:p>
          <w:p w:rsidR="005B4105" w:rsidRPr="00B625EF" w:rsidRDefault="005B4105" w:rsidP="00B625EF">
            <w:pPr>
              <w:pStyle w:val="a1"/>
              <w:tabs>
                <w:tab w:val="clear" w:pos="5104"/>
              </w:tabs>
              <w:spacing w:line="320" w:lineRule="exact"/>
              <w:ind w:left="600"/>
              <w:rPr>
                <w:snapToGrid/>
                <w:sz w:val="24"/>
                <w:szCs w:val="24"/>
              </w:rPr>
            </w:pPr>
            <w:r w:rsidRPr="00B625EF">
              <w:rPr>
                <w:snapToGrid/>
                <w:sz w:val="24"/>
                <w:szCs w:val="24"/>
              </w:rPr>
              <w:t>сроки поставки продукции;</w:t>
            </w:r>
          </w:p>
          <w:p w:rsidR="005B4105" w:rsidRPr="00B625EF" w:rsidRDefault="005B4105" w:rsidP="00B625EF">
            <w:pPr>
              <w:pStyle w:val="a1"/>
              <w:tabs>
                <w:tab w:val="clear" w:pos="5104"/>
              </w:tabs>
              <w:spacing w:line="320" w:lineRule="exact"/>
              <w:ind w:left="600"/>
              <w:rPr>
                <w:snapToGrid/>
                <w:sz w:val="24"/>
                <w:szCs w:val="24"/>
              </w:rPr>
            </w:pPr>
            <w:r w:rsidRPr="00B625EF">
              <w:rPr>
                <w:snapToGrid/>
                <w:sz w:val="24"/>
                <w:szCs w:val="24"/>
              </w:rPr>
              <w:lastRenderedPageBreak/>
              <w:t>условия оплаты;</w:t>
            </w:r>
          </w:p>
          <w:p w:rsidR="000D68F0" w:rsidRPr="00B625EF" w:rsidRDefault="005B4105" w:rsidP="00B625EF">
            <w:pPr>
              <w:pStyle w:val="a1"/>
              <w:tabs>
                <w:tab w:val="clear" w:pos="5104"/>
              </w:tabs>
              <w:spacing w:line="320" w:lineRule="exact"/>
              <w:ind w:left="600"/>
              <w:rPr>
                <w:rFonts w:eastAsia="Calibri"/>
                <w:bCs/>
                <w:i/>
                <w:sz w:val="24"/>
                <w:szCs w:val="24"/>
              </w:rPr>
            </w:pPr>
            <w:r w:rsidRPr="00B625EF">
              <w:rPr>
                <w:snapToGrid/>
                <w:sz w:val="24"/>
                <w:szCs w:val="24"/>
              </w:rPr>
              <w:t>иные условия договора, которые являются критериями оценки заявок. При этом предметом переторжки не могут быть условия, которые не входят в состав критериев оценки в соответствии с Приглашением к участию в закупке.</w:t>
            </w:r>
          </w:p>
        </w:tc>
      </w:tr>
      <w:tr w:rsidR="000D68F0" w:rsidRPr="00B625EF" w:rsidTr="00A2770A">
        <w:tc>
          <w:tcPr>
            <w:tcW w:w="534" w:type="dxa"/>
          </w:tcPr>
          <w:p w:rsidR="000D68F0" w:rsidRPr="00B625EF" w:rsidRDefault="0034436D" w:rsidP="00B625EF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160" w:type="dxa"/>
          </w:tcPr>
          <w:p w:rsidR="000D68F0" w:rsidRPr="00B625EF" w:rsidRDefault="000D68F0" w:rsidP="00B625EF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Количество туров (шагов) снижения</w:t>
            </w:r>
          </w:p>
        </w:tc>
        <w:tc>
          <w:tcPr>
            <w:tcW w:w="7796" w:type="dxa"/>
          </w:tcPr>
          <w:p w:rsidR="000D68F0" w:rsidRPr="00B625EF" w:rsidRDefault="000D68F0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hAnsi="Times New Roman"/>
                <w:sz w:val="24"/>
                <w:szCs w:val="24"/>
              </w:rPr>
              <w:t xml:space="preserve">Туры (этапы) будут проводиться до тех пор, пока все участники не объявят о том, что заявили окончательную цену и далее уменьшать её не будут.     </w:t>
            </w:r>
          </w:p>
        </w:tc>
      </w:tr>
      <w:tr w:rsidR="000D68F0" w:rsidRPr="00B625EF" w:rsidTr="00A2770A">
        <w:tc>
          <w:tcPr>
            <w:tcW w:w="534" w:type="dxa"/>
          </w:tcPr>
          <w:p w:rsidR="000D68F0" w:rsidRPr="00B625EF" w:rsidRDefault="0034436D" w:rsidP="00B625EF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0D68F0" w:rsidRPr="00B625EF" w:rsidRDefault="000D68F0" w:rsidP="00B625EF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Требования к участнику процедуры переторжки</w:t>
            </w:r>
          </w:p>
        </w:tc>
        <w:tc>
          <w:tcPr>
            <w:tcW w:w="7796" w:type="dxa"/>
          </w:tcPr>
          <w:p w:rsidR="000D68F0" w:rsidRPr="00B625EF" w:rsidRDefault="000D68F0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1)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В</w:t>
            </w:r>
            <w:proofErr w:type="gramEnd"/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процедуре переторжки принимают участие только участники закупочной процедуры, допущенные на данный этап решение</w:t>
            </w:r>
            <w:r w:rsidR="00CF6DF9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 </w:t>
            </w:r>
            <w:r w:rsidR="00AE4C92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Закупочной</w:t>
            </w:r>
            <w:r w:rsidR="00CF6DF9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комиссии по итогам 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рассмотрения </w:t>
            </w:r>
            <w:r w:rsidR="00AE4C92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заявок 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 их предварительной оценки на соответствие требованиям </w:t>
            </w:r>
            <w:r w:rsidR="00D6620D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Приглашения к участию в закупке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с учетом результатов проверки </w:t>
            </w:r>
            <w:r w:rsidR="00CF6DF9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Службы безопасности АО «МАСКО»</w:t>
            </w:r>
            <w:r w:rsidR="00D6620D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r w:rsidR="00CF6DF9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625EF">
              <w:rPr>
                <w:rFonts w:ascii="Times New Roman" w:eastAsia="Calibri" w:hAnsi="Times New Roman"/>
                <w:bCs/>
                <w:i/>
                <w:sz w:val="24"/>
                <w:szCs w:val="24"/>
                <w:highlight w:val="yellow"/>
                <w:u w:val="single"/>
              </w:rPr>
              <w:t xml:space="preserve">  </w:t>
            </w:r>
          </w:p>
          <w:p w:rsidR="000D68F0" w:rsidRPr="00B625EF" w:rsidRDefault="000D68F0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2)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Представители допущенных к переторжке участников закупки до начала е</w:t>
            </w:r>
            <w:r w:rsidR="00D6620D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ё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проведения должны подтвердить свои полномочия путем предоставления:</w:t>
            </w:r>
          </w:p>
          <w:p w:rsidR="000D68F0" w:rsidRPr="00B625EF" w:rsidRDefault="000D68F0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- документа удостоверяющего личность (паспорт);</w:t>
            </w:r>
          </w:p>
          <w:p w:rsidR="000D68F0" w:rsidRPr="00B625EF" w:rsidRDefault="000D68F0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- документа (заверенной копии), подтверждающего назначение на должность единоличного исполнительного органа, действующего в соответствии с уставом без доверенности;</w:t>
            </w:r>
          </w:p>
          <w:p w:rsidR="00B8094D" w:rsidRPr="00B625EF" w:rsidRDefault="000D68F0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оригинала доверенности, предусматривающей, в том числе полномочия на участие в закупочных процедурах и изменение (снижение) цены коммерческого предложения. </w:t>
            </w:r>
          </w:p>
          <w:p w:rsidR="000D68F0" w:rsidRPr="00B625EF" w:rsidRDefault="000D68F0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3)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В</w:t>
            </w:r>
            <w:proofErr w:type="gramEnd"/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случае, если участник закупки по каким-либо причинам не может принять участие в переторжке и/или отказывается снижать первоначально представленное свое ценовое предложение до уровня, установленного п. 5 настояще</w:t>
            </w:r>
            <w:r w:rsidR="00E55AEE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го Приглашения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соответствующее письменное уведомление (с указанием причин отказа) подлежит заблаговременному направлению в адрес председателя </w:t>
            </w:r>
            <w:r w:rsidR="00CF6DF9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Закупочной 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комиссии, но не позднее чем за 20 часов до начала проведения переторжки. Заявка такого участника остается действующей с ранее объявленной ценой. Представители таких участников на переторжку не допускаются. </w:t>
            </w:r>
          </w:p>
          <w:p w:rsidR="000D68F0" w:rsidRPr="00B625EF" w:rsidRDefault="000D68F0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4)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этапе проведения переторжки Участникам запрещается:</w:t>
            </w:r>
          </w:p>
          <w:p w:rsidR="00AF1094" w:rsidRPr="00B625EF" w:rsidRDefault="00AF1094" w:rsidP="00B625EF">
            <w:pPr>
              <w:pStyle w:val="af3"/>
              <w:numPr>
                <w:ilvl w:val="0"/>
                <w:numId w:val="3"/>
              </w:numPr>
              <w:spacing w:line="32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5EF">
              <w:rPr>
                <w:rFonts w:ascii="Times New Roman" w:hAnsi="Times New Roman"/>
                <w:sz w:val="24"/>
                <w:szCs w:val="24"/>
              </w:rPr>
              <w:t xml:space="preserve">повышать ранее предложенную цену, </w:t>
            </w:r>
          </w:p>
          <w:p w:rsidR="00AF1094" w:rsidRPr="00B625EF" w:rsidRDefault="00AF1094" w:rsidP="00B625EF">
            <w:pPr>
              <w:pStyle w:val="af3"/>
              <w:numPr>
                <w:ilvl w:val="0"/>
                <w:numId w:val="3"/>
              </w:numPr>
              <w:spacing w:line="32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5EF">
              <w:rPr>
                <w:rFonts w:ascii="Times New Roman" w:hAnsi="Times New Roman"/>
                <w:sz w:val="24"/>
                <w:szCs w:val="24"/>
              </w:rPr>
              <w:t>изменять иные условия заявки на участие в закупочной процедуре в связи со снижением цены,</w:t>
            </w:r>
          </w:p>
          <w:p w:rsidR="000D68F0" w:rsidRPr="00B625EF" w:rsidRDefault="00AF1094" w:rsidP="00B625EF">
            <w:pPr>
              <w:pStyle w:val="af3"/>
              <w:numPr>
                <w:ilvl w:val="0"/>
                <w:numId w:val="3"/>
              </w:numPr>
              <w:spacing w:line="32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5EF">
              <w:rPr>
                <w:rFonts w:ascii="Times New Roman" w:hAnsi="Times New Roman"/>
                <w:sz w:val="24"/>
                <w:szCs w:val="24"/>
              </w:rPr>
              <w:t xml:space="preserve">указывать нескольких вариантов минимальных цен. </w:t>
            </w:r>
          </w:p>
        </w:tc>
      </w:tr>
      <w:tr w:rsidR="000D68F0" w:rsidRPr="00B625EF" w:rsidTr="00A2770A">
        <w:tc>
          <w:tcPr>
            <w:tcW w:w="534" w:type="dxa"/>
          </w:tcPr>
          <w:p w:rsidR="000D68F0" w:rsidRPr="00B625EF" w:rsidRDefault="0034436D" w:rsidP="00B625EF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0D68F0" w:rsidRPr="00B625EF" w:rsidRDefault="000D68F0" w:rsidP="00B625EF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Подача</w:t>
            </w:r>
            <w:r w:rsidR="002F1991"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обновленных</w:t>
            </w: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заявок </w:t>
            </w:r>
          </w:p>
          <w:p w:rsidR="000D68F0" w:rsidRPr="00B625EF" w:rsidRDefault="000D68F0" w:rsidP="00B625EF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по итогам </w:t>
            </w:r>
            <w:r w:rsidR="002F1991"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проведения </w:t>
            </w: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переторжки</w:t>
            </w:r>
          </w:p>
        </w:tc>
        <w:tc>
          <w:tcPr>
            <w:tcW w:w="7796" w:type="dxa"/>
          </w:tcPr>
          <w:p w:rsidR="000D68F0" w:rsidRPr="00B625EF" w:rsidRDefault="000D68F0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1)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Участники в течение 3-х рабочих дней после проведения переторжки обязаны направить </w:t>
            </w:r>
            <w:r w:rsidR="00644670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рганизатору в порядке, предусмотренном </w:t>
            </w:r>
            <w:r w:rsidR="00CF6DF9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 </w:t>
            </w:r>
            <w:r w:rsidR="00644670" w:rsidRPr="00B625EF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  <w:t>разделе</w:t>
            </w:r>
            <w:r w:rsidR="00CF6DF9" w:rsidRPr="00B625EF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  <w:t xml:space="preserve"> 1 Приглашения</w:t>
            </w:r>
            <w:r w:rsidR="00CF6DF9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 участию в закупке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коммерческие </w:t>
            </w:r>
            <w:r w:rsidR="00644670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предложения с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ценой, сформированной по итогам переторжки.</w:t>
            </w:r>
          </w:p>
          <w:p w:rsidR="000D68F0" w:rsidRPr="00B625EF" w:rsidRDefault="000D68F0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Новое ценовое предложение должно быть оформлено в соответствии с </w:t>
            </w:r>
            <w:r w:rsidR="00644670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требованиями раздела</w:t>
            </w:r>
            <w:r w:rsidR="00CF6DF9" w:rsidRPr="00B625EF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  <w:t xml:space="preserve"> 4 Приглашения</w:t>
            </w:r>
            <w:r w:rsidR="00CF6DF9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 участию в закупке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В случае не </w:t>
            </w:r>
            <w:r w:rsidR="00A8123B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соблюдения данного условия обно</w:t>
            </w:r>
            <w:r w:rsidR="00182455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вленная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заявка может быть отклонена, 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в таком случае признается выигравшей следующая по степени предпочтительности заявка.   </w:t>
            </w:r>
          </w:p>
          <w:p w:rsidR="000D68F0" w:rsidRPr="00B625EF" w:rsidRDefault="000D68F0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2)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Подписывать заявки с новыми условиями могут только лица, подписавшие первоначальную заявку, либо иные представители участника, уполномоченные соответствующей доверенностью. В последнем случае такие лица должны вместе с заявкой (коммерческим предложением) </w:t>
            </w:r>
            <w:r w:rsidR="00644670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с новыми условиями представить О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рганизатору закупки оригинал доверенности или заверенную копию на совершение указанных выше действий. </w:t>
            </w:r>
            <w:r w:rsidR="0079261F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 случае не предоставления доверенности такие заявки не рассматриваются, и такие участники считаются не участвовавшими в процедуре переторжки. </w:t>
            </w:r>
          </w:p>
          <w:p w:rsidR="0079261F" w:rsidRPr="00B625EF" w:rsidRDefault="0079261F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3)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Участники, изменившие заявки на переторжке, обязаны (если они не подали соответствующие документы на переторжке) в срок не позднее 2 рабочих дней представить откорректированные с учетом новых предложенных условий документы, определяющие коммерческое предложение (в </w:t>
            </w:r>
            <w:proofErr w:type="spellStart"/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т.ч</w:t>
            </w:r>
            <w:proofErr w:type="spellEnd"/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сметы), оформленные в порядке, предусмотренном для подачи заявки на участие в закупке. </w:t>
            </w:r>
          </w:p>
        </w:tc>
      </w:tr>
      <w:tr w:rsidR="000D68F0" w:rsidRPr="00B625EF" w:rsidTr="00A2770A">
        <w:tc>
          <w:tcPr>
            <w:tcW w:w="534" w:type="dxa"/>
          </w:tcPr>
          <w:p w:rsidR="000D68F0" w:rsidRPr="00B625EF" w:rsidRDefault="0034436D" w:rsidP="00B625EF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160" w:type="dxa"/>
          </w:tcPr>
          <w:p w:rsidR="000D68F0" w:rsidRPr="00B625EF" w:rsidRDefault="000D68F0" w:rsidP="00B625EF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hAnsi="Times New Roman"/>
                <w:b/>
                <w:sz w:val="24"/>
                <w:szCs w:val="24"/>
              </w:rPr>
              <w:t>Общие правила переторжки</w:t>
            </w:r>
          </w:p>
        </w:tc>
        <w:tc>
          <w:tcPr>
            <w:tcW w:w="7796" w:type="dxa"/>
          </w:tcPr>
          <w:p w:rsidR="000D68F0" w:rsidRPr="00B625EF" w:rsidRDefault="000D68F0" w:rsidP="00B625EF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B6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 ходу проведения переторжки </w:t>
            </w:r>
            <w:r w:rsidR="00644670"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Закупочная комиссия</w:t>
            </w: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вправе вести аудио- или видеозапись, о чём заранее уведомляются все лица, участвующие в данной процедуре.  </w:t>
            </w:r>
          </w:p>
          <w:p w:rsidR="000D68F0" w:rsidRPr="00B625EF" w:rsidRDefault="000D68F0" w:rsidP="00B625EF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5EF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B625EF">
              <w:rPr>
                <w:rFonts w:ascii="Times New Roman" w:hAnsi="Times New Roman"/>
                <w:sz w:val="24"/>
                <w:szCs w:val="24"/>
              </w:rPr>
              <w:t xml:space="preserve"> Если </w:t>
            </w:r>
            <w:r w:rsidR="00644670" w:rsidRPr="00B625EF">
              <w:rPr>
                <w:rFonts w:ascii="Times New Roman" w:hAnsi="Times New Roman"/>
                <w:sz w:val="24"/>
                <w:szCs w:val="24"/>
              </w:rPr>
              <w:t>Закупочной комиссией</w:t>
            </w:r>
            <w:r w:rsidRPr="00B625EF">
              <w:rPr>
                <w:rFonts w:ascii="Times New Roman" w:hAnsi="Times New Roman"/>
                <w:sz w:val="24"/>
                <w:szCs w:val="24"/>
              </w:rPr>
              <w:t xml:space="preserve"> принято решение о приглашении участника на переторжку с отлагательным условием (например, при условии представления им недостающих ранее или уточняющих документов), в случае неисполнения этого </w:t>
            </w:r>
            <w:r w:rsidR="00644670" w:rsidRPr="00B625EF">
              <w:rPr>
                <w:rFonts w:ascii="Times New Roman" w:hAnsi="Times New Roman"/>
                <w:sz w:val="24"/>
                <w:szCs w:val="24"/>
              </w:rPr>
              <w:t>условия участником</w:t>
            </w:r>
            <w:r w:rsidRPr="00B625EF">
              <w:rPr>
                <w:rFonts w:ascii="Times New Roman" w:hAnsi="Times New Roman"/>
                <w:sz w:val="24"/>
                <w:szCs w:val="24"/>
              </w:rPr>
              <w:t xml:space="preserve"> перед началом переторжки, закупочная комиссия вправе не допустить такого участника к переторжке и не рассматривать его обновлённую заявку/предложение. Заявка такого участника остается действующей с ранее объявленной ценой. </w:t>
            </w:r>
          </w:p>
          <w:p w:rsidR="000D68F0" w:rsidRPr="00B625EF" w:rsidRDefault="000D68F0" w:rsidP="00B625EF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5EF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B625EF">
              <w:rPr>
                <w:rFonts w:ascii="Times New Roman" w:hAnsi="Times New Roman"/>
                <w:sz w:val="24"/>
                <w:szCs w:val="24"/>
              </w:rPr>
              <w:t xml:space="preserve"> Предложения участника по повышению цены не рассматриваются, такой участник считается не участвовавшим в переторжке и в этом случае, при подведении итогов закупки будет рассмотрено первоначально поданное предложение такого участника.  </w:t>
            </w:r>
          </w:p>
          <w:p w:rsidR="009549E5" w:rsidRPr="00B625EF" w:rsidRDefault="009549E5" w:rsidP="00B625EF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5EF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B625EF">
              <w:rPr>
                <w:rFonts w:ascii="Times New Roman" w:hAnsi="Times New Roman"/>
                <w:sz w:val="24"/>
                <w:szCs w:val="24"/>
              </w:rPr>
              <w:t xml:space="preserve"> Заявки участников, приглашенных на переторжку, но в ней не участвовавших, учитываются при построении итоговой ранжировки предложений по первоначальному предложению. </w:t>
            </w:r>
          </w:p>
          <w:p w:rsidR="000D68F0" w:rsidRPr="00B625EF" w:rsidRDefault="009549E5" w:rsidP="00B625EF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5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D68F0" w:rsidRPr="00B625E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0D68F0" w:rsidRPr="00B625EF">
              <w:rPr>
                <w:rFonts w:ascii="Times New Roman" w:hAnsi="Times New Roman"/>
                <w:sz w:val="24"/>
                <w:szCs w:val="24"/>
              </w:rPr>
              <w:t xml:space="preserve"> Если по результатам последнего этапа переторжки участниками будут предоставлены одинаковые предложения по ценовому критерию, </w:t>
            </w:r>
            <w:r w:rsidR="00644670" w:rsidRPr="00B625EF">
              <w:rPr>
                <w:rFonts w:ascii="Times New Roman" w:hAnsi="Times New Roman"/>
                <w:sz w:val="24"/>
                <w:szCs w:val="24"/>
              </w:rPr>
              <w:t>Закупочная комиссия</w:t>
            </w:r>
            <w:r w:rsidR="000D68F0" w:rsidRPr="00B625EF">
              <w:rPr>
                <w:rFonts w:ascii="Times New Roman" w:hAnsi="Times New Roman"/>
                <w:sz w:val="24"/>
                <w:szCs w:val="24"/>
              </w:rPr>
              <w:t xml:space="preserve"> вправе объявить ещё один тур (этап) переторжки с целью предоставления такими участниками максимально возможной скидки или возможности повышения предпочтительности их заявок (например, путем уменьшения сроков поставки продукции</w:t>
            </w:r>
            <w:r w:rsidR="0074544A" w:rsidRPr="00B625EF">
              <w:rPr>
                <w:rFonts w:ascii="Times New Roman" w:hAnsi="Times New Roman"/>
                <w:sz w:val="24"/>
                <w:szCs w:val="24"/>
              </w:rPr>
              <w:t xml:space="preserve"> (выполнения работ, услуг)</w:t>
            </w:r>
            <w:r w:rsidR="000D68F0" w:rsidRPr="00B625EF">
              <w:rPr>
                <w:rFonts w:ascii="Times New Roman" w:hAnsi="Times New Roman"/>
                <w:sz w:val="24"/>
                <w:szCs w:val="24"/>
              </w:rPr>
              <w:t xml:space="preserve">, снижения размера аванса либо изменений условий расчетов на более выгодные для </w:t>
            </w:r>
            <w:r w:rsidR="00E34181" w:rsidRPr="00B625EF">
              <w:rPr>
                <w:rFonts w:ascii="Times New Roman" w:hAnsi="Times New Roman"/>
                <w:sz w:val="24"/>
                <w:szCs w:val="24"/>
              </w:rPr>
              <w:t>Организатора</w:t>
            </w:r>
            <w:r w:rsidR="000D68F0" w:rsidRPr="00B625EF">
              <w:rPr>
                <w:rFonts w:ascii="Times New Roman" w:hAnsi="Times New Roman"/>
                <w:sz w:val="24"/>
                <w:szCs w:val="24"/>
              </w:rPr>
              <w:t>, при условии сохранения остальных положений заявки без изменений).</w:t>
            </w:r>
          </w:p>
          <w:p w:rsidR="000D68F0" w:rsidRPr="00B625EF" w:rsidRDefault="009549E5" w:rsidP="00B625EF">
            <w:pPr>
              <w:spacing w:line="32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625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F38F6" w:rsidRPr="00B625E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F38F6" w:rsidRPr="00B6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8F0" w:rsidRPr="00B625EF">
              <w:rPr>
                <w:rFonts w:ascii="Times New Roman" w:hAnsi="Times New Roman"/>
                <w:sz w:val="24"/>
                <w:szCs w:val="24"/>
              </w:rPr>
              <w:t xml:space="preserve">Результаты проведения переторжки </w:t>
            </w:r>
            <w:r w:rsidR="00644670" w:rsidRPr="00B625EF">
              <w:rPr>
                <w:rFonts w:ascii="Times New Roman" w:hAnsi="Times New Roman"/>
                <w:sz w:val="24"/>
                <w:szCs w:val="24"/>
              </w:rPr>
              <w:t xml:space="preserve">отражаются в протоколе Закупочной комиссии.   </w:t>
            </w:r>
            <w:r w:rsidR="000D68F0" w:rsidRPr="00B6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38F6" w:rsidRPr="00B625EF" w:rsidTr="00A2770A">
        <w:tc>
          <w:tcPr>
            <w:tcW w:w="534" w:type="dxa"/>
          </w:tcPr>
          <w:p w:rsidR="00DF38F6" w:rsidRPr="00B625EF" w:rsidRDefault="00DF38F6" w:rsidP="00B625EF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25EF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DF38F6" w:rsidRPr="00B625EF" w:rsidRDefault="00DF38F6" w:rsidP="00B625EF">
            <w:pPr>
              <w:spacing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625EF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</w:t>
            </w:r>
            <w:r w:rsidRPr="00B625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 закупки</w:t>
            </w:r>
          </w:p>
        </w:tc>
        <w:tc>
          <w:tcPr>
            <w:tcW w:w="7796" w:type="dxa"/>
          </w:tcPr>
          <w:p w:rsidR="00DF38F6" w:rsidRPr="00B625EF" w:rsidRDefault="00D91051" w:rsidP="00B625EF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5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окончании </w:t>
            </w:r>
            <w:r w:rsidR="00B5071F" w:rsidRPr="00B625EF">
              <w:rPr>
                <w:rFonts w:ascii="Times New Roman" w:hAnsi="Times New Roman"/>
                <w:sz w:val="24"/>
                <w:szCs w:val="24"/>
              </w:rPr>
              <w:t xml:space="preserve">процедуры </w:t>
            </w:r>
            <w:r w:rsidRPr="00B625EF">
              <w:rPr>
                <w:rFonts w:ascii="Times New Roman" w:hAnsi="Times New Roman"/>
                <w:sz w:val="24"/>
                <w:szCs w:val="24"/>
              </w:rPr>
              <w:t xml:space="preserve">переторжки </w:t>
            </w:r>
            <w:r w:rsidR="00644670" w:rsidRPr="00B625EF">
              <w:rPr>
                <w:rFonts w:ascii="Times New Roman" w:hAnsi="Times New Roman"/>
                <w:sz w:val="24"/>
                <w:szCs w:val="24"/>
              </w:rPr>
              <w:t>Закупочная комиссия</w:t>
            </w:r>
            <w:r w:rsidRPr="00B625EF">
              <w:rPr>
                <w:rFonts w:ascii="Times New Roman" w:hAnsi="Times New Roman"/>
                <w:sz w:val="24"/>
                <w:szCs w:val="24"/>
              </w:rPr>
              <w:t xml:space="preserve"> производит </w:t>
            </w:r>
            <w:r w:rsidR="00B5071F" w:rsidRPr="00B625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оценку и </w:t>
            </w:r>
            <w:r w:rsidR="00B5071F" w:rsidRPr="00B625EF">
              <w:rPr>
                <w:rFonts w:ascii="Times New Roman" w:hAnsi="Times New Roman"/>
                <w:bCs/>
                <w:sz w:val="24"/>
                <w:szCs w:val="24"/>
              </w:rPr>
              <w:t xml:space="preserve">ранжирование коммерческих предложений </w:t>
            </w:r>
            <w:r w:rsidR="00644670" w:rsidRPr="00B625EF">
              <w:rPr>
                <w:rFonts w:ascii="Times New Roman" w:hAnsi="Times New Roman"/>
                <w:bCs/>
                <w:sz w:val="24"/>
                <w:szCs w:val="24"/>
              </w:rPr>
              <w:t>участников</w:t>
            </w:r>
            <w:r w:rsidR="00644670" w:rsidRPr="00B625E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625EF">
              <w:rPr>
                <w:rFonts w:ascii="Times New Roman" w:hAnsi="Times New Roman"/>
                <w:sz w:val="24"/>
                <w:szCs w:val="24"/>
              </w:rPr>
              <w:t xml:space="preserve"> соответствии с ранее объявленными критериями в </w:t>
            </w:r>
            <w:r w:rsidR="00644670" w:rsidRPr="00B625EF">
              <w:rPr>
                <w:rFonts w:ascii="Times New Roman" w:hAnsi="Times New Roman"/>
                <w:sz w:val="24"/>
                <w:szCs w:val="24"/>
              </w:rPr>
              <w:t>Приглашении к участию в закупке</w:t>
            </w:r>
            <w:r w:rsidRPr="00B625EF">
              <w:rPr>
                <w:rFonts w:ascii="Times New Roman" w:hAnsi="Times New Roman"/>
                <w:sz w:val="24"/>
                <w:szCs w:val="24"/>
              </w:rPr>
              <w:t xml:space="preserve"> и учитывает цены, полученные в ходе переторжки. </w:t>
            </w:r>
          </w:p>
        </w:tc>
      </w:tr>
    </w:tbl>
    <w:p w:rsidR="008F79C6" w:rsidRPr="00B625EF" w:rsidRDefault="008F79C6" w:rsidP="00B625EF">
      <w:pPr>
        <w:spacing w:line="320" w:lineRule="exact"/>
        <w:ind w:firstLine="708"/>
        <w:rPr>
          <w:rFonts w:ascii="Times New Roman" w:eastAsia="Calibri" w:hAnsi="Times New Roman"/>
          <w:bCs/>
          <w:sz w:val="24"/>
          <w:szCs w:val="24"/>
        </w:rPr>
      </w:pPr>
    </w:p>
    <w:p w:rsidR="00DF38F6" w:rsidRPr="00B625EF" w:rsidRDefault="00DF38F6" w:rsidP="00B625EF">
      <w:pPr>
        <w:spacing w:line="320" w:lineRule="exact"/>
        <w:rPr>
          <w:rFonts w:ascii="Times New Roman" w:hAnsi="Times New Roman"/>
          <w:b/>
          <w:sz w:val="24"/>
          <w:szCs w:val="24"/>
        </w:rPr>
      </w:pPr>
    </w:p>
    <w:p w:rsidR="001C268C" w:rsidRPr="00B625EF" w:rsidRDefault="000A1A70" w:rsidP="00B625EF">
      <w:pPr>
        <w:spacing w:line="320" w:lineRule="exact"/>
        <w:rPr>
          <w:rFonts w:ascii="Times New Roman" w:hAnsi="Times New Roman"/>
          <w:b/>
          <w:sz w:val="24"/>
          <w:szCs w:val="24"/>
        </w:rPr>
      </w:pPr>
      <w:r w:rsidRPr="00B625EF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644670" w:rsidRPr="00B625EF">
        <w:rPr>
          <w:rFonts w:ascii="Times New Roman" w:hAnsi="Times New Roman"/>
          <w:b/>
          <w:sz w:val="24"/>
          <w:szCs w:val="24"/>
        </w:rPr>
        <w:t xml:space="preserve">Закупочной комиссии </w:t>
      </w:r>
      <w:r w:rsidR="00351441" w:rsidRPr="00B625EF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6C34FE" w:rsidRPr="00B625EF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644670" w:rsidRPr="00B625EF">
        <w:rPr>
          <w:rFonts w:ascii="Times New Roman" w:hAnsi="Times New Roman"/>
          <w:b/>
          <w:sz w:val="24"/>
          <w:szCs w:val="24"/>
        </w:rPr>
        <w:t>_____________</w:t>
      </w:r>
      <w:r w:rsidR="006C34FE" w:rsidRPr="00B625EF">
        <w:rPr>
          <w:rFonts w:ascii="Times New Roman" w:hAnsi="Times New Roman"/>
          <w:b/>
          <w:sz w:val="24"/>
          <w:szCs w:val="24"/>
        </w:rPr>
        <w:t xml:space="preserve"> </w:t>
      </w:r>
      <w:r w:rsidR="0035673C" w:rsidRPr="00B625EF">
        <w:rPr>
          <w:rFonts w:ascii="Times New Roman" w:hAnsi="Times New Roman"/>
          <w:b/>
          <w:sz w:val="24"/>
          <w:szCs w:val="24"/>
        </w:rPr>
        <w:t>Ф.И.О.</w:t>
      </w:r>
    </w:p>
    <w:sectPr w:rsidR="001C268C" w:rsidRPr="00B625EF" w:rsidSect="00EB43F9">
      <w:pgSz w:w="11906" w:h="16838"/>
      <w:pgMar w:top="567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C9" w:rsidRDefault="004D04C9" w:rsidP="00B64B08">
      <w:r>
        <w:separator/>
      </w:r>
    </w:p>
  </w:endnote>
  <w:endnote w:type="continuationSeparator" w:id="0">
    <w:p w:rsidR="004D04C9" w:rsidRDefault="004D04C9" w:rsidP="00B6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C9" w:rsidRDefault="004D04C9" w:rsidP="00B64B08">
      <w:r>
        <w:separator/>
      </w:r>
    </w:p>
  </w:footnote>
  <w:footnote w:type="continuationSeparator" w:id="0">
    <w:p w:rsidR="004D04C9" w:rsidRDefault="004D04C9" w:rsidP="00B64B08">
      <w:r>
        <w:continuationSeparator/>
      </w:r>
    </w:p>
  </w:footnote>
  <w:footnote w:id="1">
    <w:p w:rsidR="0070794A" w:rsidRDefault="0070794A">
      <w:pPr>
        <w:pStyle w:val="af0"/>
      </w:pPr>
      <w:r w:rsidRPr="00EB5310">
        <w:rPr>
          <w:rStyle w:val="af2"/>
          <w:highlight w:val="yellow"/>
        </w:rPr>
        <w:footnoteRef/>
      </w:r>
      <w:r>
        <w:t xml:space="preserve"> </w:t>
      </w:r>
      <w:r w:rsidR="00DC67B1">
        <w:t>Начальная  цена переторжки равна наименьшей</w:t>
      </w:r>
      <w:r>
        <w:t xml:space="preserve"> цен</w:t>
      </w:r>
      <w:r w:rsidR="003050D7">
        <w:t>е</w:t>
      </w:r>
      <w:r>
        <w:t xml:space="preserve"> поступивших коммерческих предложений</w:t>
      </w:r>
      <w:r w:rsidR="00DC67B1">
        <w:t xml:space="preserve"> </w:t>
      </w:r>
    </w:p>
  </w:footnote>
  <w:footnote w:id="2">
    <w:p w:rsidR="000D68F0" w:rsidRDefault="000D68F0">
      <w:pPr>
        <w:pStyle w:val="af0"/>
      </w:pPr>
      <w:r w:rsidRPr="00EB5310">
        <w:rPr>
          <w:rStyle w:val="af2"/>
          <w:highlight w:val="yellow"/>
        </w:rPr>
        <w:footnoteRef/>
      </w:r>
      <w:r>
        <w:t xml:space="preserve"> </w:t>
      </w:r>
      <w:r w:rsidR="00B03F5F">
        <w:t>С</w:t>
      </w:r>
      <w:r w:rsidR="00B03F5F" w:rsidRPr="00B03F5F">
        <w:t xml:space="preserve"> целью избежания демпинга цен</w:t>
      </w:r>
      <w:r w:rsidR="00B03F5F">
        <w:t xml:space="preserve"> может быть у</w:t>
      </w:r>
      <w:r w:rsidR="008E3620">
        <w:t>каз</w:t>
      </w:r>
      <w:r w:rsidR="00B03F5F">
        <w:t xml:space="preserve">ано </w:t>
      </w:r>
      <w:r>
        <w:t>ограничени</w:t>
      </w:r>
      <w:r w:rsidR="00B03F5F">
        <w:t>е</w:t>
      </w:r>
      <w:r>
        <w:t xml:space="preserve"> </w:t>
      </w:r>
      <w:r w:rsidR="008E3620" w:rsidRPr="008E3620">
        <w:t xml:space="preserve">по снижению цен в размере не более 20% от </w:t>
      </w:r>
      <w:r w:rsidR="008E3620">
        <w:t xml:space="preserve">начальной цены переторжки, предусмотренной пунктом </w:t>
      </w:r>
      <w:r w:rsidR="00E55AEE">
        <w:t>5 настоящего Приглашения</w:t>
      </w:r>
      <w:r w:rsidR="008E3620">
        <w:t xml:space="preserve">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820"/>
    <w:multiLevelType w:val="multilevel"/>
    <w:tmpl w:val="9E0494B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42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26263F08"/>
    <w:multiLevelType w:val="hybridMultilevel"/>
    <w:tmpl w:val="7C761CA8"/>
    <w:lvl w:ilvl="0" w:tplc="EECCA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380EA5"/>
    <w:multiLevelType w:val="hybridMultilevel"/>
    <w:tmpl w:val="1E0053AA"/>
    <w:lvl w:ilvl="0" w:tplc="A380D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0224FF"/>
    <w:multiLevelType w:val="hybridMultilevel"/>
    <w:tmpl w:val="43E63E7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8A395C"/>
    <w:multiLevelType w:val="multilevel"/>
    <w:tmpl w:val="68060A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4ACD564A"/>
    <w:multiLevelType w:val="hybridMultilevel"/>
    <w:tmpl w:val="9120F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8C"/>
    <w:rsid w:val="00007A41"/>
    <w:rsid w:val="00010DE5"/>
    <w:rsid w:val="00013927"/>
    <w:rsid w:val="0002787C"/>
    <w:rsid w:val="00036A9E"/>
    <w:rsid w:val="00054977"/>
    <w:rsid w:val="000666FF"/>
    <w:rsid w:val="000753FB"/>
    <w:rsid w:val="000A1A70"/>
    <w:rsid w:val="000A4AC9"/>
    <w:rsid w:val="000B3115"/>
    <w:rsid w:val="000D3EC6"/>
    <w:rsid w:val="000D4CD9"/>
    <w:rsid w:val="000D68F0"/>
    <w:rsid w:val="000E38C7"/>
    <w:rsid w:val="00102819"/>
    <w:rsid w:val="00102E39"/>
    <w:rsid w:val="0011290F"/>
    <w:rsid w:val="001137F9"/>
    <w:rsid w:val="00115113"/>
    <w:rsid w:val="00121AC5"/>
    <w:rsid w:val="00122F1C"/>
    <w:rsid w:val="00164F94"/>
    <w:rsid w:val="00182455"/>
    <w:rsid w:val="001938D2"/>
    <w:rsid w:val="001A1EA3"/>
    <w:rsid w:val="001A30E0"/>
    <w:rsid w:val="001A6726"/>
    <w:rsid w:val="001C268C"/>
    <w:rsid w:val="001C4D12"/>
    <w:rsid w:val="001D79D8"/>
    <w:rsid w:val="001E73C9"/>
    <w:rsid w:val="001F21A7"/>
    <w:rsid w:val="002039CF"/>
    <w:rsid w:val="002219E8"/>
    <w:rsid w:val="00224713"/>
    <w:rsid w:val="0022694F"/>
    <w:rsid w:val="0024089C"/>
    <w:rsid w:val="00244D93"/>
    <w:rsid w:val="0024613F"/>
    <w:rsid w:val="0026145B"/>
    <w:rsid w:val="00267F1F"/>
    <w:rsid w:val="00270401"/>
    <w:rsid w:val="002948E0"/>
    <w:rsid w:val="002A010B"/>
    <w:rsid w:val="002A2D5A"/>
    <w:rsid w:val="002B0B82"/>
    <w:rsid w:val="002C6993"/>
    <w:rsid w:val="002C6DEB"/>
    <w:rsid w:val="002D2D4E"/>
    <w:rsid w:val="002E1B35"/>
    <w:rsid w:val="002E6B64"/>
    <w:rsid w:val="002F1991"/>
    <w:rsid w:val="002F3995"/>
    <w:rsid w:val="002F7E2A"/>
    <w:rsid w:val="00303281"/>
    <w:rsid w:val="003050D7"/>
    <w:rsid w:val="003112B7"/>
    <w:rsid w:val="003124C7"/>
    <w:rsid w:val="00314251"/>
    <w:rsid w:val="0031724C"/>
    <w:rsid w:val="003240D1"/>
    <w:rsid w:val="0033023D"/>
    <w:rsid w:val="003323EC"/>
    <w:rsid w:val="003350B2"/>
    <w:rsid w:val="00336B12"/>
    <w:rsid w:val="003372CB"/>
    <w:rsid w:val="00340CD6"/>
    <w:rsid w:val="003435E4"/>
    <w:rsid w:val="0034436D"/>
    <w:rsid w:val="00347D36"/>
    <w:rsid w:val="00351441"/>
    <w:rsid w:val="00354CFB"/>
    <w:rsid w:val="0035673C"/>
    <w:rsid w:val="003834CC"/>
    <w:rsid w:val="003A5183"/>
    <w:rsid w:val="003B75D7"/>
    <w:rsid w:val="003E3D86"/>
    <w:rsid w:val="003F0BD9"/>
    <w:rsid w:val="003F4DCF"/>
    <w:rsid w:val="00402DF0"/>
    <w:rsid w:val="00425B82"/>
    <w:rsid w:val="00431D16"/>
    <w:rsid w:val="00432C29"/>
    <w:rsid w:val="004504A3"/>
    <w:rsid w:val="00457E97"/>
    <w:rsid w:val="00473B0F"/>
    <w:rsid w:val="00476A78"/>
    <w:rsid w:val="00497CAF"/>
    <w:rsid w:val="004A04C0"/>
    <w:rsid w:val="004D04C9"/>
    <w:rsid w:val="004E4D92"/>
    <w:rsid w:val="004E6412"/>
    <w:rsid w:val="004E6D78"/>
    <w:rsid w:val="004F002A"/>
    <w:rsid w:val="004F13C8"/>
    <w:rsid w:val="004F764B"/>
    <w:rsid w:val="00501C96"/>
    <w:rsid w:val="005022C2"/>
    <w:rsid w:val="0050617D"/>
    <w:rsid w:val="00526DCD"/>
    <w:rsid w:val="00544B67"/>
    <w:rsid w:val="00565180"/>
    <w:rsid w:val="0057423C"/>
    <w:rsid w:val="00575E9C"/>
    <w:rsid w:val="00584333"/>
    <w:rsid w:val="005950D0"/>
    <w:rsid w:val="005B4105"/>
    <w:rsid w:val="005C411B"/>
    <w:rsid w:val="005C5B45"/>
    <w:rsid w:val="005C792B"/>
    <w:rsid w:val="005D2C62"/>
    <w:rsid w:val="006050F2"/>
    <w:rsid w:val="00624481"/>
    <w:rsid w:val="00624E3E"/>
    <w:rsid w:val="00627F88"/>
    <w:rsid w:val="006329BE"/>
    <w:rsid w:val="00644670"/>
    <w:rsid w:val="00653EF0"/>
    <w:rsid w:val="00665DDF"/>
    <w:rsid w:val="00667941"/>
    <w:rsid w:val="00677B51"/>
    <w:rsid w:val="006936D1"/>
    <w:rsid w:val="0069432A"/>
    <w:rsid w:val="00697CC3"/>
    <w:rsid w:val="006A20DE"/>
    <w:rsid w:val="006B20C1"/>
    <w:rsid w:val="006B3933"/>
    <w:rsid w:val="006C34FE"/>
    <w:rsid w:val="006D1F2C"/>
    <w:rsid w:val="006F73D4"/>
    <w:rsid w:val="0070794A"/>
    <w:rsid w:val="00707D22"/>
    <w:rsid w:val="00722991"/>
    <w:rsid w:val="00723CB5"/>
    <w:rsid w:val="00732BA9"/>
    <w:rsid w:val="00734406"/>
    <w:rsid w:val="0074231B"/>
    <w:rsid w:val="0074544A"/>
    <w:rsid w:val="00747909"/>
    <w:rsid w:val="007570F5"/>
    <w:rsid w:val="007705EC"/>
    <w:rsid w:val="00790C50"/>
    <w:rsid w:val="0079261F"/>
    <w:rsid w:val="00793095"/>
    <w:rsid w:val="007A2ACD"/>
    <w:rsid w:val="007D5FC4"/>
    <w:rsid w:val="007E3997"/>
    <w:rsid w:val="007F0C15"/>
    <w:rsid w:val="00801D78"/>
    <w:rsid w:val="0080795C"/>
    <w:rsid w:val="008118E7"/>
    <w:rsid w:val="008159B8"/>
    <w:rsid w:val="00820DB5"/>
    <w:rsid w:val="008224EA"/>
    <w:rsid w:val="00834600"/>
    <w:rsid w:val="008411A3"/>
    <w:rsid w:val="008415D2"/>
    <w:rsid w:val="00842687"/>
    <w:rsid w:val="008529F4"/>
    <w:rsid w:val="00894199"/>
    <w:rsid w:val="008B5556"/>
    <w:rsid w:val="008C419A"/>
    <w:rsid w:val="008C6317"/>
    <w:rsid w:val="008D2223"/>
    <w:rsid w:val="008D28FD"/>
    <w:rsid w:val="008E3620"/>
    <w:rsid w:val="008E5FA2"/>
    <w:rsid w:val="008F6976"/>
    <w:rsid w:val="008F79C6"/>
    <w:rsid w:val="00922FC6"/>
    <w:rsid w:val="0093433D"/>
    <w:rsid w:val="009362FB"/>
    <w:rsid w:val="0095385F"/>
    <w:rsid w:val="009549E5"/>
    <w:rsid w:val="00956157"/>
    <w:rsid w:val="00973D8C"/>
    <w:rsid w:val="009E4FB4"/>
    <w:rsid w:val="009E5DEF"/>
    <w:rsid w:val="009F1222"/>
    <w:rsid w:val="00A12D90"/>
    <w:rsid w:val="00A15909"/>
    <w:rsid w:val="00A24785"/>
    <w:rsid w:val="00A2770A"/>
    <w:rsid w:val="00A35467"/>
    <w:rsid w:val="00A362F4"/>
    <w:rsid w:val="00A366F0"/>
    <w:rsid w:val="00A40B68"/>
    <w:rsid w:val="00A41688"/>
    <w:rsid w:val="00A46DC4"/>
    <w:rsid w:val="00A73FF4"/>
    <w:rsid w:val="00A76E87"/>
    <w:rsid w:val="00A7736E"/>
    <w:rsid w:val="00A8123B"/>
    <w:rsid w:val="00AB066E"/>
    <w:rsid w:val="00AB5149"/>
    <w:rsid w:val="00AC7773"/>
    <w:rsid w:val="00AE2591"/>
    <w:rsid w:val="00AE306E"/>
    <w:rsid w:val="00AE4C92"/>
    <w:rsid w:val="00AE7669"/>
    <w:rsid w:val="00AF1094"/>
    <w:rsid w:val="00B03F5F"/>
    <w:rsid w:val="00B05F1B"/>
    <w:rsid w:val="00B313BB"/>
    <w:rsid w:val="00B33054"/>
    <w:rsid w:val="00B4350C"/>
    <w:rsid w:val="00B46DDB"/>
    <w:rsid w:val="00B5071F"/>
    <w:rsid w:val="00B50C00"/>
    <w:rsid w:val="00B547D4"/>
    <w:rsid w:val="00B625EF"/>
    <w:rsid w:val="00B63A39"/>
    <w:rsid w:val="00B64B08"/>
    <w:rsid w:val="00B6619A"/>
    <w:rsid w:val="00B8094D"/>
    <w:rsid w:val="00B858C5"/>
    <w:rsid w:val="00B86622"/>
    <w:rsid w:val="00BE3A8D"/>
    <w:rsid w:val="00C03399"/>
    <w:rsid w:val="00C159FC"/>
    <w:rsid w:val="00C17D9E"/>
    <w:rsid w:val="00C44E96"/>
    <w:rsid w:val="00C758E5"/>
    <w:rsid w:val="00CC3517"/>
    <w:rsid w:val="00CD49A1"/>
    <w:rsid w:val="00CE329C"/>
    <w:rsid w:val="00CE3C57"/>
    <w:rsid w:val="00CE7C12"/>
    <w:rsid w:val="00CF6DF9"/>
    <w:rsid w:val="00D04C60"/>
    <w:rsid w:val="00D14E6C"/>
    <w:rsid w:val="00D17B5B"/>
    <w:rsid w:val="00D21DD1"/>
    <w:rsid w:val="00D255B9"/>
    <w:rsid w:val="00D33A76"/>
    <w:rsid w:val="00D3663F"/>
    <w:rsid w:val="00D42762"/>
    <w:rsid w:val="00D43624"/>
    <w:rsid w:val="00D5371F"/>
    <w:rsid w:val="00D61661"/>
    <w:rsid w:val="00D6620D"/>
    <w:rsid w:val="00D70C92"/>
    <w:rsid w:val="00D70D43"/>
    <w:rsid w:val="00D71A1A"/>
    <w:rsid w:val="00D80396"/>
    <w:rsid w:val="00D8185B"/>
    <w:rsid w:val="00D91051"/>
    <w:rsid w:val="00DA3799"/>
    <w:rsid w:val="00DA603A"/>
    <w:rsid w:val="00DA6412"/>
    <w:rsid w:val="00DC67B1"/>
    <w:rsid w:val="00DC67BB"/>
    <w:rsid w:val="00DE37EC"/>
    <w:rsid w:val="00DE447B"/>
    <w:rsid w:val="00DE6C72"/>
    <w:rsid w:val="00DF38F6"/>
    <w:rsid w:val="00E00F0E"/>
    <w:rsid w:val="00E13FDD"/>
    <w:rsid w:val="00E34181"/>
    <w:rsid w:val="00E55AEE"/>
    <w:rsid w:val="00E575ED"/>
    <w:rsid w:val="00E637F6"/>
    <w:rsid w:val="00E67E03"/>
    <w:rsid w:val="00E70D4B"/>
    <w:rsid w:val="00E92429"/>
    <w:rsid w:val="00EB43F9"/>
    <w:rsid w:val="00EB5310"/>
    <w:rsid w:val="00EB60F7"/>
    <w:rsid w:val="00ED21D6"/>
    <w:rsid w:val="00EE4380"/>
    <w:rsid w:val="00EF0C3C"/>
    <w:rsid w:val="00EF50B4"/>
    <w:rsid w:val="00EF5152"/>
    <w:rsid w:val="00F0696A"/>
    <w:rsid w:val="00F10479"/>
    <w:rsid w:val="00F20254"/>
    <w:rsid w:val="00F219BA"/>
    <w:rsid w:val="00F3016A"/>
    <w:rsid w:val="00F44193"/>
    <w:rsid w:val="00F57557"/>
    <w:rsid w:val="00F61EDB"/>
    <w:rsid w:val="00F66F28"/>
    <w:rsid w:val="00F84E96"/>
    <w:rsid w:val="00F87B83"/>
    <w:rsid w:val="00F937F7"/>
    <w:rsid w:val="00FA4222"/>
    <w:rsid w:val="00FB5C42"/>
    <w:rsid w:val="00FD48DF"/>
    <w:rsid w:val="00FE06AA"/>
    <w:rsid w:val="00FE214B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DC989"/>
  <w15:docId w15:val="{AA3001BF-CCA3-4577-A3F1-82A51A65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C268C"/>
    <w:rPr>
      <w:rFonts w:ascii="Kudriashov" w:eastAsia="Times New Roman" w:hAnsi="Kudriashov"/>
      <w:sz w:val="28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uiPriority w:val="9"/>
    <w:qFormat/>
    <w:rsid w:val="005B4105"/>
    <w:pPr>
      <w:keepNext/>
      <w:keepLines/>
      <w:pageBreakBefore/>
      <w:numPr>
        <w:numId w:val="5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6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uiPriority w:val="9"/>
    <w:qFormat/>
    <w:rsid w:val="005B4105"/>
    <w:pPr>
      <w:keepNext/>
      <w:numPr>
        <w:ilvl w:val="1"/>
        <w:numId w:val="5"/>
      </w:numPr>
      <w:suppressAutoHyphens/>
      <w:spacing w:before="360" w:after="120"/>
      <w:outlineLvl w:val="1"/>
    </w:pPr>
    <w:rPr>
      <w:rFonts w:ascii="Times New Roman" w:hAnsi="Times New Roman"/>
      <w:b/>
      <w:snapToGrid w:val="0"/>
      <w:sz w:val="32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1C268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2"/>
    <w:link w:val="a8"/>
    <w:rsid w:val="001C268C"/>
    <w:pPr>
      <w:ind w:firstLine="705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rsid w:val="001C268C"/>
    <w:rPr>
      <w:rFonts w:eastAsia="Times New Roman"/>
      <w:sz w:val="24"/>
      <w:szCs w:val="24"/>
      <w:lang w:eastAsia="ru-RU"/>
    </w:rPr>
  </w:style>
  <w:style w:type="character" w:styleId="a9">
    <w:name w:val="Hyperlink"/>
    <w:rsid w:val="001C268C"/>
    <w:rPr>
      <w:color w:val="0000FF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8D28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28FD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2"/>
    <w:link w:val="ad"/>
    <w:uiPriority w:val="99"/>
    <w:unhideWhenUsed/>
    <w:rsid w:val="00B64B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64B08"/>
    <w:rPr>
      <w:rFonts w:ascii="Kudriashov" w:eastAsia="Times New Roman" w:hAnsi="Kudriashov"/>
      <w:sz w:val="28"/>
    </w:rPr>
  </w:style>
  <w:style w:type="paragraph" w:styleId="ae">
    <w:name w:val="footer"/>
    <w:basedOn w:val="a2"/>
    <w:link w:val="af"/>
    <w:uiPriority w:val="99"/>
    <w:unhideWhenUsed/>
    <w:rsid w:val="00B64B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64B08"/>
    <w:rPr>
      <w:rFonts w:ascii="Kudriashov" w:eastAsia="Times New Roman" w:hAnsi="Kudriashov"/>
      <w:sz w:val="28"/>
    </w:rPr>
  </w:style>
  <w:style w:type="paragraph" w:styleId="af0">
    <w:name w:val="footnote text"/>
    <w:basedOn w:val="a2"/>
    <w:link w:val="af1"/>
    <w:uiPriority w:val="99"/>
    <w:semiHidden/>
    <w:unhideWhenUsed/>
    <w:rsid w:val="0070794A"/>
    <w:rPr>
      <w:sz w:val="20"/>
    </w:rPr>
  </w:style>
  <w:style w:type="character" w:customStyle="1" w:styleId="af1">
    <w:name w:val="Текст сноски Знак"/>
    <w:basedOn w:val="a3"/>
    <w:link w:val="af0"/>
    <w:uiPriority w:val="99"/>
    <w:semiHidden/>
    <w:rsid w:val="0070794A"/>
    <w:rPr>
      <w:rFonts w:ascii="Kudriashov" w:eastAsia="Times New Roman" w:hAnsi="Kudriashov"/>
    </w:rPr>
  </w:style>
  <w:style w:type="character" w:styleId="af2">
    <w:name w:val="footnote reference"/>
    <w:basedOn w:val="a3"/>
    <w:uiPriority w:val="99"/>
    <w:semiHidden/>
    <w:unhideWhenUsed/>
    <w:rsid w:val="0070794A"/>
    <w:rPr>
      <w:vertAlign w:val="superscript"/>
    </w:rPr>
  </w:style>
  <w:style w:type="paragraph" w:styleId="af3">
    <w:name w:val="List Paragraph"/>
    <w:basedOn w:val="a2"/>
    <w:link w:val="af4"/>
    <w:uiPriority w:val="34"/>
    <w:qFormat/>
    <w:rsid w:val="00B313BB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rsid w:val="00E00F0E"/>
    <w:rPr>
      <w:rFonts w:ascii="Kudriashov" w:eastAsia="Times New Roman" w:hAnsi="Kudriashov"/>
      <w:sz w:val="28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5B4105"/>
    <w:rPr>
      <w:rFonts w:ascii="Arial" w:eastAsia="Times New Roman" w:hAnsi="Arial"/>
      <w:b/>
      <w:kern w:val="28"/>
      <w:sz w:val="40"/>
      <w:szCs w:val="26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5B4105"/>
    <w:rPr>
      <w:rFonts w:eastAsia="Times New Roman"/>
      <w:b/>
      <w:snapToGrid w:val="0"/>
      <w:sz w:val="32"/>
      <w:szCs w:val="26"/>
    </w:rPr>
  </w:style>
  <w:style w:type="paragraph" w:customStyle="1" w:styleId="a">
    <w:name w:val="Пункт"/>
    <w:basedOn w:val="a2"/>
    <w:rsid w:val="005B4105"/>
    <w:pPr>
      <w:numPr>
        <w:ilvl w:val="2"/>
        <w:numId w:val="5"/>
      </w:numPr>
      <w:spacing w:before="120"/>
      <w:jc w:val="both"/>
    </w:pPr>
    <w:rPr>
      <w:rFonts w:ascii="Times New Roman" w:hAnsi="Times New Roman"/>
      <w:snapToGrid w:val="0"/>
      <w:sz w:val="26"/>
      <w:szCs w:val="26"/>
    </w:rPr>
  </w:style>
  <w:style w:type="paragraph" w:customStyle="1" w:styleId="a0">
    <w:name w:val="Подпункт"/>
    <w:basedOn w:val="a"/>
    <w:rsid w:val="005B4105"/>
    <w:pPr>
      <w:numPr>
        <w:ilvl w:val="3"/>
      </w:numPr>
    </w:pPr>
  </w:style>
  <w:style w:type="paragraph" w:customStyle="1" w:styleId="a1">
    <w:name w:val="Подподпункт"/>
    <w:basedOn w:val="a0"/>
    <w:link w:val="af5"/>
    <w:rsid w:val="005B4105"/>
    <w:pPr>
      <w:numPr>
        <w:ilvl w:val="4"/>
      </w:numPr>
    </w:pPr>
  </w:style>
  <w:style w:type="character" w:customStyle="1" w:styleId="af5">
    <w:name w:val="Подподпункт Знак"/>
    <w:link w:val="a1"/>
    <w:locked/>
    <w:rsid w:val="005B4105"/>
    <w:rPr>
      <w:rFonts w:eastAsia="Times New Roman"/>
      <w:snapToGrid w:val="0"/>
      <w:sz w:val="26"/>
      <w:szCs w:val="26"/>
    </w:rPr>
  </w:style>
  <w:style w:type="paragraph" w:customStyle="1" w:styleId="-3">
    <w:name w:val="Пункт-3"/>
    <w:basedOn w:val="a2"/>
    <w:rsid w:val="0079261F"/>
    <w:pPr>
      <w:tabs>
        <w:tab w:val="left" w:pos="1701"/>
        <w:tab w:val="num" w:pos="1843"/>
      </w:tabs>
      <w:kinsoku w:val="0"/>
      <w:overflowPunct w:val="0"/>
      <w:autoSpaceDE w:val="0"/>
      <w:autoSpaceDN w:val="0"/>
      <w:spacing w:line="288" w:lineRule="auto"/>
      <w:ind w:left="142"/>
      <w:jc w:val="both"/>
    </w:pPr>
    <w:rPr>
      <w:rFonts w:ascii="Times New Roman" w:hAnsi="Times New Roman"/>
      <w:szCs w:val="28"/>
    </w:rPr>
  </w:style>
  <w:style w:type="paragraph" w:customStyle="1" w:styleId="-4">
    <w:name w:val="Пункт-4"/>
    <w:basedOn w:val="a2"/>
    <w:rsid w:val="0079261F"/>
    <w:pPr>
      <w:tabs>
        <w:tab w:val="num" w:pos="1701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hAnsi="Times New Roman"/>
      <w:snapToGrid w:val="0"/>
      <w:lang w:val="x-none" w:eastAsia="x-none"/>
    </w:rPr>
  </w:style>
  <w:style w:type="paragraph" w:customStyle="1" w:styleId="-6">
    <w:name w:val="Пункт-6"/>
    <w:basedOn w:val="a2"/>
    <w:rsid w:val="0079261F"/>
    <w:pPr>
      <w:tabs>
        <w:tab w:val="num" w:pos="1701"/>
      </w:tabs>
      <w:spacing w:line="288" w:lineRule="auto"/>
      <w:ind w:firstLine="567"/>
      <w:jc w:val="both"/>
    </w:pPr>
    <w:rPr>
      <w:rFonts w:ascii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EF14-3204-4538-8A39-7E0C08C6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 "АЛРОСА" (ЗАО)</Company>
  <LinksUpToDate>false</LinksUpToDate>
  <CharactersWithSpaces>7107</CharactersWithSpaces>
  <SharedDoc>false</SharedDoc>
  <HLinks>
    <vt:vector size="18" baseType="variant">
      <vt:variant>
        <vt:i4>6160506</vt:i4>
      </vt:variant>
      <vt:variant>
        <vt:i4>9</vt:i4>
      </vt:variant>
      <vt:variant>
        <vt:i4>0</vt:i4>
      </vt:variant>
      <vt:variant>
        <vt:i4>5</vt:i4>
      </vt:variant>
      <vt:variant>
        <vt:lpwstr>mailto:web@rg.ru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mailto:info@alrosa.ru_</vt:lpwstr>
      </vt:variant>
      <vt:variant>
        <vt:lpwstr/>
      </vt:variant>
      <vt:variant>
        <vt:i4>1048640</vt:i4>
      </vt:variant>
      <vt:variant>
        <vt:i4>3</vt:i4>
      </vt:variant>
      <vt:variant>
        <vt:i4>0</vt:i4>
      </vt:variant>
      <vt:variant>
        <vt:i4>5</vt:i4>
      </vt:variant>
      <vt:variant>
        <vt:lpwstr>http://www.alrosa.ru/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ZavalovaNS</dc:creator>
  <cp:lastModifiedBy>Рукавишникова Екатерина Викторовна</cp:lastModifiedBy>
  <cp:revision>18</cp:revision>
  <cp:lastPrinted>2014-11-27T10:26:00Z</cp:lastPrinted>
  <dcterms:created xsi:type="dcterms:W3CDTF">2014-12-08T23:49:00Z</dcterms:created>
  <dcterms:modified xsi:type="dcterms:W3CDTF">2023-01-31T10:19:00Z</dcterms:modified>
</cp:coreProperties>
</file>